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rPr>
          <w:rFonts w:ascii="Times New Roman" w:hAnsi="Times New Roman" w:cs="Times New Roman"/>
          <w:sz w:val="24"/>
          <w:szCs w:val="24"/>
        </w:rPr>
      </w:pPr>
    </w:p>
    <w:p w:rsidR="00773186" w:rsidRPr="00773186" w:rsidRDefault="00773186" w:rsidP="00773186">
      <w:pPr>
        <w:spacing w:line="480" w:lineRule="auto"/>
        <w:jc w:val="center"/>
        <w:rPr>
          <w:rFonts w:ascii="Times New Roman" w:hAnsi="Times New Roman" w:cs="Times New Roman"/>
          <w:sz w:val="24"/>
          <w:szCs w:val="24"/>
        </w:rPr>
      </w:pPr>
      <w:r w:rsidRPr="00773186">
        <w:rPr>
          <w:rFonts w:ascii="Times New Roman" w:hAnsi="Times New Roman" w:cs="Times New Roman"/>
          <w:sz w:val="24"/>
          <w:szCs w:val="24"/>
        </w:rPr>
        <w:t>Risk Factors for Vicarious Trauma</w:t>
      </w:r>
    </w:p>
    <w:p w:rsidR="00773186" w:rsidRPr="00773186" w:rsidRDefault="00773186" w:rsidP="00773186">
      <w:pPr>
        <w:spacing w:line="480" w:lineRule="auto"/>
        <w:jc w:val="center"/>
        <w:rPr>
          <w:rFonts w:ascii="Times New Roman" w:hAnsi="Times New Roman" w:cs="Times New Roman"/>
          <w:sz w:val="24"/>
          <w:szCs w:val="24"/>
        </w:rPr>
      </w:pPr>
      <w:r w:rsidRPr="00773186">
        <w:rPr>
          <w:rFonts w:ascii="Times New Roman" w:hAnsi="Times New Roman" w:cs="Times New Roman"/>
          <w:sz w:val="24"/>
          <w:szCs w:val="24"/>
        </w:rPr>
        <w:t>Name of Student</w:t>
      </w:r>
    </w:p>
    <w:p w:rsidR="00773186" w:rsidRPr="00773186" w:rsidRDefault="00773186" w:rsidP="00773186">
      <w:pPr>
        <w:spacing w:line="480" w:lineRule="auto"/>
        <w:jc w:val="center"/>
        <w:rPr>
          <w:rFonts w:ascii="Times New Roman" w:hAnsi="Times New Roman" w:cs="Times New Roman"/>
          <w:sz w:val="24"/>
          <w:szCs w:val="24"/>
        </w:rPr>
      </w:pPr>
      <w:r w:rsidRPr="00773186">
        <w:rPr>
          <w:rFonts w:ascii="Times New Roman" w:hAnsi="Times New Roman" w:cs="Times New Roman"/>
          <w:sz w:val="24"/>
          <w:szCs w:val="24"/>
        </w:rPr>
        <w:t>Name of Institution</w:t>
      </w:r>
    </w:p>
    <w:p w:rsidR="00773186" w:rsidRPr="00773186" w:rsidRDefault="00773186" w:rsidP="00773186">
      <w:pPr>
        <w:spacing w:line="480" w:lineRule="auto"/>
        <w:jc w:val="center"/>
        <w:rPr>
          <w:rFonts w:ascii="Times New Roman" w:hAnsi="Times New Roman" w:cs="Times New Roman"/>
          <w:sz w:val="24"/>
          <w:szCs w:val="24"/>
        </w:rPr>
      </w:pPr>
      <w:r w:rsidRPr="00773186">
        <w:rPr>
          <w:rFonts w:ascii="Times New Roman" w:hAnsi="Times New Roman" w:cs="Times New Roman"/>
          <w:sz w:val="24"/>
          <w:szCs w:val="24"/>
        </w:rPr>
        <w:t xml:space="preserve">Date </w:t>
      </w:r>
      <w:r w:rsidRPr="00773186">
        <w:rPr>
          <w:rFonts w:ascii="Times New Roman" w:hAnsi="Times New Roman" w:cs="Times New Roman"/>
          <w:sz w:val="24"/>
          <w:szCs w:val="24"/>
        </w:rPr>
        <w:br w:type="page"/>
      </w:r>
    </w:p>
    <w:p w:rsidR="00623DC9" w:rsidRPr="00773186" w:rsidRDefault="00623DC9" w:rsidP="00773186">
      <w:pPr>
        <w:spacing w:line="480" w:lineRule="auto"/>
        <w:ind w:firstLine="720"/>
        <w:rPr>
          <w:rFonts w:ascii="Times New Roman" w:hAnsi="Times New Roman" w:cs="Times New Roman"/>
          <w:sz w:val="24"/>
          <w:szCs w:val="24"/>
        </w:rPr>
      </w:pPr>
      <w:r w:rsidRPr="00773186">
        <w:rPr>
          <w:rFonts w:ascii="Times New Roman" w:hAnsi="Times New Roman" w:cs="Times New Roman"/>
          <w:sz w:val="24"/>
          <w:szCs w:val="24"/>
        </w:rPr>
        <w:lastRenderedPageBreak/>
        <w:t xml:space="preserve">For me I think </w:t>
      </w:r>
      <w:r w:rsidR="00D01D87" w:rsidRPr="00773186">
        <w:rPr>
          <w:rFonts w:ascii="Times New Roman" w:hAnsi="Times New Roman" w:cs="Times New Roman"/>
          <w:sz w:val="24"/>
          <w:szCs w:val="24"/>
        </w:rPr>
        <w:t>spirituality, current life circumstances, and agency support are critical aspect in contributing to vicarious liability. Spirituality demands that the counselors relate to the experiences of their clients through context of higher power and benevolence to set them straight. Spirituality also aids in comprehension and understanding of the client’s situation. The current life circumstances refer to the client adding stress to your already stressful situations that you are yet to deal with</w:t>
      </w:r>
      <w:r w:rsidR="00111269" w:rsidRPr="00773186">
        <w:rPr>
          <w:rFonts w:ascii="Times New Roman" w:hAnsi="Times New Roman" w:cs="Times New Roman"/>
          <w:sz w:val="24"/>
          <w:szCs w:val="24"/>
        </w:rPr>
        <w:t xml:space="preserve"> </w:t>
      </w:r>
      <w:sdt>
        <w:sdtPr>
          <w:rPr>
            <w:rFonts w:ascii="Times New Roman" w:hAnsi="Times New Roman" w:cs="Times New Roman"/>
            <w:sz w:val="24"/>
            <w:szCs w:val="24"/>
          </w:rPr>
          <w:id w:val="132949752"/>
          <w:citation/>
        </w:sdtPr>
        <w:sdtContent>
          <w:r w:rsidR="00111269" w:rsidRPr="00773186">
            <w:rPr>
              <w:rFonts w:ascii="Times New Roman" w:hAnsi="Times New Roman" w:cs="Times New Roman"/>
              <w:sz w:val="24"/>
              <w:szCs w:val="24"/>
            </w:rPr>
            <w:fldChar w:fldCharType="begin"/>
          </w:r>
          <w:r w:rsidR="00111269" w:rsidRPr="00773186">
            <w:rPr>
              <w:rFonts w:ascii="Times New Roman" w:hAnsi="Times New Roman" w:cs="Times New Roman"/>
              <w:sz w:val="24"/>
              <w:szCs w:val="24"/>
            </w:rPr>
            <w:instrText xml:space="preserve"> CITATION Car09 \l 1033 </w:instrText>
          </w:r>
          <w:r w:rsidR="00111269" w:rsidRPr="00773186">
            <w:rPr>
              <w:rFonts w:ascii="Times New Roman" w:hAnsi="Times New Roman" w:cs="Times New Roman"/>
              <w:sz w:val="24"/>
              <w:szCs w:val="24"/>
            </w:rPr>
            <w:fldChar w:fldCharType="separate"/>
          </w:r>
          <w:r w:rsidR="00111269" w:rsidRPr="00773186">
            <w:rPr>
              <w:rFonts w:ascii="Times New Roman" w:hAnsi="Times New Roman" w:cs="Times New Roman"/>
              <w:noProof/>
              <w:sz w:val="24"/>
              <w:szCs w:val="24"/>
            </w:rPr>
            <w:t>(Caringi &amp; Pearlman, 2009)</w:t>
          </w:r>
          <w:r w:rsidR="00111269" w:rsidRPr="00773186">
            <w:rPr>
              <w:rFonts w:ascii="Times New Roman" w:hAnsi="Times New Roman" w:cs="Times New Roman"/>
              <w:sz w:val="24"/>
              <w:szCs w:val="24"/>
            </w:rPr>
            <w:fldChar w:fldCharType="end"/>
          </w:r>
        </w:sdtContent>
      </w:sdt>
      <w:r w:rsidR="00D01D87" w:rsidRPr="00773186">
        <w:rPr>
          <w:rFonts w:ascii="Times New Roman" w:hAnsi="Times New Roman" w:cs="Times New Roman"/>
          <w:sz w:val="24"/>
          <w:szCs w:val="24"/>
        </w:rPr>
        <w:t xml:space="preserve">. The last element characterizes the probability of trauma </w:t>
      </w:r>
      <w:r w:rsidR="00111269" w:rsidRPr="00773186">
        <w:rPr>
          <w:rFonts w:ascii="Times New Roman" w:hAnsi="Times New Roman" w:cs="Times New Roman"/>
          <w:sz w:val="24"/>
          <w:szCs w:val="24"/>
        </w:rPr>
        <w:t xml:space="preserve">for the counselors </w:t>
      </w:r>
      <w:r w:rsidR="00D01D87" w:rsidRPr="00773186">
        <w:rPr>
          <w:rFonts w:ascii="Times New Roman" w:hAnsi="Times New Roman" w:cs="Times New Roman"/>
          <w:sz w:val="24"/>
          <w:szCs w:val="24"/>
        </w:rPr>
        <w:t xml:space="preserve">based on the influence and support from organization </w:t>
      </w:r>
      <w:r w:rsidR="00111269" w:rsidRPr="00773186">
        <w:rPr>
          <w:rFonts w:ascii="Times New Roman" w:hAnsi="Times New Roman" w:cs="Times New Roman"/>
          <w:sz w:val="24"/>
          <w:szCs w:val="24"/>
        </w:rPr>
        <w:t xml:space="preserve">hiring them. Lack of adequacy of the element is a risk factor for vicarious trauma. </w:t>
      </w:r>
    </w:p>
    <w:p w:rsidR="00000000" w:rsidRPr="00773186" w:rsidRDefault="00111269" w:rsidP="00773186">
      <w:pPr>
        <w:spacing w:line="480" w:lineRule="auto"/>
        <w:ind w:firstLine="720"/>
        <w:rPr>
          <w:rFonts w:ascii="Times New Roman" w:hAnsi="Times New Roman" w:cs="Times New Roman"/>
          <w:sz w:val="24"/>
          <w:szCs w:val="24"/>
        </w:rPr>
      </w:pPr>
      <w:r w:rsidRPr="00773186">
        <w:rPr>
          <w:rFonts w:ascii="Times New Roman" w:hAnsi="Times New Roman" w:cs="Times New Roman"/>
          <w:sz w:val="24"/>
          <w:szCs w:val="24"/>
        </w:rPr>
        <w:t>Critical factors that may expose me to vicarious trauma are spirituality and agency support</w:t>
      </w:r>
      <w:r w:rsidR="00D07DD3" w:rsidRPr="00773186">
        <w:rPr>
          <w:rFonts w:ascii="Times New Roman" w:hAnsi="Times New Roman" w:cs="Times New Roman"/>
          <w:sz w:val="24"/>
          <w:szCs w:val="24"/>
        </w:rPr>
        <w:t xml:space="preserve">. </w:t>
      </w:r>
      <w:r w:rsidRPr="00773186">
        <w:rPr>
          <w:rFonts w:ascii="Times New Roman" w:hAnsi="Times New Roman" w:cs="Times New Roman"/>
          <w:sz w:val="24"/>
          <w:szCs w:val="24"/>
        </w:rPr>
        <w:t>T</w:t>
      </w:r>
      <w:r w:rsidR="00623DC9" w:rsidRPr="00773186">
        <w:rPr>
          <w:rFonts w:ascii="Times New Roman" w:hAnsi="Times New Roman" w:cs="Times New Roman"/>
          <w:sz w:val="24"/>
          <w:szCs w:val="24"/>
        </w:rPr>
        <w:t>he severity of the trauma experienced by the client</w:t>
      </w:r>
      <w:r w:rsidRPr="00773186">
        <w:rPr>
          <w:rFonts w:ascii="Times New Roman" w:hAnsi="Times New Roman" w:cs="Times New Roman"/>
          <w:sz w:val="24"/>
          <w:szCs w:val="24"/>
        </w:rPr>
        <w:t xml:space="preserve"> may bring about </w:t>
      </w:r>
      <w:r w:rsidR="00623DC9" w:rsidRPr="00773186">
        <w:rPr>
          <w:rFonts w:ascii="Times New Roman" w:hAnsi="Times New Roman" w:cs="Times New Roman"/>
          <w:sz w:val="24"/>
          <w:szCs w:val="24"/>
        </w:rPr>
        <w:t xml:space="preserve">emotional exhaustion. Take the case of a client who lost his family and his possession from a natural disaster. He then incurred an injury that led to his unemployment. </w:t>
      </w:r>
      <w:r w:rsidRPr="00773186">
        <w:rPr>
          <w:rFonts w:ascii="Times New Roman" w:hAnsi="Times New Roman" w:cs="Times New Roman"/>
          <w:sz w:val="24"/>
          <w:szCs w:val="24"/>
        </w:rPr>
        <w:t xml:space="preserve">My empathy may </w:t>
      </w:r>
      <w:r w:rsidR="00623DC9" w:rsidRPr="00773186">
        <w:rPr>
          <w:rFonts w:ascii="Times New Roman" w:hAnsi="Times New Roman" w:cs="Times New Roman"/>
          <w:sz w:val="24"/>
          <w:szCs w:val="24"/>
        </w:rPr>
        <w:t xml:space="preserve">lead </w:t>
      </w:r>
      <w:r w:rsidRPr="00773186">
        <w:rPr>
          <w:rFonts w:ascii="Times New Roman" w:hAnsi="Times New Roman" w:cs="Times New Roman"/>
          <w:sz w:val="24"/>
          <w:szCs w:val="24"/>
        </w:rPr>
        <w:t xml:space="preserve">me </w:t>
      </w:r>
      <w:r w:rsidR="00623DC9" w:rsidRPr="00773186">
        <w:rPr>
          <w:rFonts w:ascii="Times New Roman" w:hAnsi="Times New Roman" w:cs="Times New Roman"/>
          <w:sz w:val="24"/>
          <w:szCs w:val="24"/>
        </w:rPr>
        <w:t xml:space="preserve">to existential and metaphysical questions. Questions such as the meaning and purpose of life, the nature of one’s existence, the existence of God or a higher power, and individual spirituality </w:t>
      </w:r>
      <w:r w:rsidR="00D01D87" w:rsidRPr="00773186">
        <w:rPr>
          <w:rFonts w:ascii="Times New Roman" w:hAnsi="Times New Roman" w:cs="Times New Roman"/>
          <w:sz w:val="24"/>
          <w:szCs w:val="24"/>
        </w:rPr>
        <w:t xml:space="preserve">require </w:t>
      </w:r>
      <w:r w:rsidRPr="00773186">
        <w:rPr>
          <w:rFonts w:ascii="Times New Roman" w:hAnsi="Times New Roman" w:cs="Times New Roman"/>
          <w:sz w:val="24"/>
          <w:szCs w:val="24"/>
        </w:rPr>
        <w:t xml:space="preserve">I connect </w:t>
      </w:r>
      <w:r w:rsidR="00D01D87" w:rsidRPr="00773186">
        <w:rPr>
          <w:rFonts w:ascii="Times New Roman" w:hAnsi="Times New Roman" w:cs="Times New Roman"/>
          <w:sz w:val="24"/>
          <w:szCs w:val="24"/>
        </w:rPr>
        <w:t xml:space="preserve">with a source </w:t>
      </w:r>
      <w:r w:rsidRPr="00773186">
        <w:rPr>
          <w:rFonts w:ascii="Times New Roman" w:hAnsi="Times New Roman" w:cs="Times New Roman"/>
          <w:sz w:val="24"/>
          <w:szCs w:val="24"/>
        </w:rPr>
        <w:t>o</w:t>
      </w:r>
      <w:r w:rsidR="00D01D87" w:rsidRPr="00773186">
        <w:rPr>
          <w:rFonts w:ascii="Times New Roman" w:hAnsi="Times New Roman" w:cs="Times New Roman"/>
          <w:sz w:val="24"/>
          <w:szCs w:val="24"/>
        </w:rPr>
        <w:t>f hope, purpose and meaning. Lack of such</w:t>
      </w:r>
      <w:r w:rsidRPr="00773186">
        <w:rPr>
          <w:rFonts w:ascii="Times New Roman" w:hAnsi="Times New Roman" w:cs="Times New Roman"/>
          <w:sz w:val="24"/>
          <w:szCs w:val="24"/>
        </w:rPr>
        <w:t xml:space="preserve"> a source</w:t>
      </w:r>
      <w:r w:rsidR="00D01D87" w:rsidRPr="00773186">
        <w:rPr>
          <w:rFonts w:ascii="Times New Roman" w:hAnsi="Times New Roman" w:cs="Times New Roman"/>
          <w:sz w:val="24"/>
          <w:szCs w:val="24"/>
        </w:rPr>
        <w:t xml:space="preserve">, and sometimes </w:t>
      </w:r>
      <w:r w:rsidRPr="00773186">
        <w:rPr>
          <w:rFonts w:ascii="Times New Roman" w:hAnsi="Times New Roman" w:cs="Times New Roman"/>
          <w:sz w:val="24"/>
          <w:szCs w:val="24"/>
        </w:rPr>
        <w:t xml:space="preserve">if the client’s trauma is </w:t>
      </w:r>
      <w:r w:rsidR="00D01D87" w:rsidRPr="00773186">
        <w:rPr>
          <w:rFonts w:ascii="Times New Roman" w:hAnsi="Times New Roman" w:cs="Times New Roman"/>
          <w:sz w:val="24"/>
          <w:szCs w:val="24"/>
        </w:rPr>
        <w:t xml:space="preserve">incomprehensible, may </w:t>
      </w:r>
      <w:r w:rsidRPr="00773186">
        <w:rPr>
          <w:rFonts w:ascii="Times New Roman" w:hAnsi="Times New Roman" w:cs="Times New Roman"/>
          <w:sz w:val="24"/>
          <w:szCs w:val="24"/>
        </w:rPr>
        <w:t xml:space="preserve">exhaust me emotionally </w:t>
      </w:r>
      <w:sdt>
        <w:sdtPr>
          <w:rPr>
            <w:rFonts w:ascii="Times New Roman" w:hAnsi="Times New Roman" w:cs="Times New Roman"/>
            <w:sz w:val="24"/>
            <w:szCs w:val="24"/>
          </w:rPr>
          <w:id w:val="132949751"/>
          <w:citation/>
        </w:sdtPr>
        <w:sdtContent>
          <w:r w:rsidR="00623DC9" w:rsidRPr="00773186">
            <w:rPr>
              <w:rFonts w:ascii="Times New Roman" w:hAnsi="Times New Roman" w:cs="Times New Roman"/>
              <w:sz w:val="24"/>
              <w:szCs w:val="24"/>
            </w:rPr>
            <w:fldChar w:fldCharType="begin"/>
          </w:r>
          <w:r w:rsidR="00623DC9" w:rsidRPr="00773186">
            <w:rPr>
              <w:rFonts w:ascii="Times New Roman" w:hAnsi="Times New Roman" w:cs="Times New Roman"/>
              <w:sz w:val="24"/>
              <w:szCs w:val="24"/>
            </w:rPr>
            <w:instrText xml:space="preserve"> CITATION Har13 \l 1033 </w:instrText>
          </w:r>
          <w:r w:rsidR="00623DC9" w:rsidRPr="00773186">
            <w:rPr>
              <w:rFonts w:ascii="Times New Roman" w:hAnsi="Times New Roman" w:cs="Times New Roman"/>
              <w:sz w:val="24"/>
              <w:szCs w:val="24"/>
            </w:rPr>
            <w:fldChar w:fldCharType="separate"/>
          </w:r>
          <w:r w:rsidR="00623DC9" w:rsidRPr="00773186">
            <w:rPr>
              <w:rFonts w:ascii="Times New Roman" w:hAnsi="Times New Roman" w:cs="Times New Roman"/>
              <w:noProof/>
              <w:sz w:val="24"/>
              <w:szCs w:val="24"/>
            </w:rPr>
            <w:t>(Hardiman &amp; Simmonds, 2013)</w:t>
          </w:r>
          <w:r w:rsidR="00623DC9" w:rsidRPr="00773186">
            <w:rPr>
              <w:rFonts w:ascii="Times New Roman" w:hAnsi="Times New Roman" w:cs="Times New Roman"/>
              <w:sz w:val="24"/>
              <w:szCs w:val="24"/>
            </w:rPr>
            <w:fldChar w:fldCharType="end"/>
          </w:r>
        </w:sdtContent>
      </w:sdt>
      <w:r w:rsidR="00623DC9" w:rsidRPr="00773186">
        <w:rPr>
          <w:rFonts w:ascii="Times New Roman" w:hAnsi="Times New Roman" w:cs="Times New Roman"/>
          <w:sz w:val="24"/>
          <w:szCs w:val="24"/>
        </w:rPr>
        <w:t xml:space="preserve">, which in turn bring about vicarious trauma for the clinician. </w:t>
      </w:r>
    </w:p>
    <w:p w:rsidR="00623DC9" w:rsidRPr="00773186" w:rsidRDefault="00111269" w:rsidP="00773186">
      <w:pPr>
        <w:spacing w:line="480" w:lineRule="auto"/>
        <w:ind w:firstLine="720"/>
        <w:rPr>
          <w:rFonts w:ascii="Times New Roman" w:hAnsi="Times New Roman" w:cs="Times New Roman"/>
          <w:sz w:val="24"/>
          <w:szCs w:val="24"/>
        </w:rPr>
      </w:pPr>
      <w:r w:rsidRPr="00773186">
        <w:rPr>
          <w:rFonts w:ascii="Times New Roman" w:hAnsi="Times New Roman" w:cs="Times New Roman"/>
          <w:sz w:val="24"/>
          <w:szCs w:val="24"/>
        </w:rPr>
        <w:t xml:space="preserve">The support from the agency I work under will effectively shape my level of satisfaction and </w:t>
      </w:r>
      <w:r w:rsidR="00C64D5D" w:rsidRPr="00773186">
        <w:rPr>
          <w:rFonts w:ascii="Times New Roman" w:hAnsi="Times New Roman" w:cs="Times New Roman"/>
          <w:sz w:val="24"/>
          <w:szCs w:val="24"/>
        </w:rPr>
        <w:t xml:space="preserve">the probability for m to look for employment elsewhere </w:t>
      </w:r>
      <w:sdt>
        <w:sdtPr>
          <w:rPr>
            <w:rFonts w:ascii="Times New Roman" w:hAnsi="Times New Roman" w:cs="Times New Roman"/>
            <w:sz w:val="24"/>
            <w:szCs w:val="24"/>
          </w:rPr>
          <w:id w:val="132949754"/>
          <w:citation/>
        </w:sdtPr>
        <w:sdtContent>
          <w:r w:rsidR="00C64D5D" w:rsidRPr="00773186">
            <w:rPr>
              <w:rFonts w:ascii="Times New Roman" w:hAnsi="Times New Roman" w:cs="Times New Roman"/>
              <w:sz w:val="24"/>
              <w:szCs w:val="24"/>
            </w:rPr>
            <w:fldChar w:fldCharType="begin"/>
          </w:r>
          <w:r w:rsidR="00C64D5D" w:rsidRPr="00773186">
            <w:rPr>
              <w:rFonts w:ascii="Times New Roman" w:hAnsi="Times New Roman" w:cs="Times New Roman"/>
              <w:sz w:val="24"/>
              <w:szCs w:val="24"/>
            </w:rPr>
            <w:instrText xml:space="preserve"> CITATION Car17 \l 1033 </w:instrText>
          </w:r>
          <w:r w:rsidR="00C64D5D" w:rsidRPr="00773186">
            <w:rPr>
              <w:rFonts w:ascii="Times New Roman" w:hAnsi="Times New Roman" w:cs="Times New Roman"/>
              <w:sz w:val="24"/>
              <w:szCs w:val="24"/>
            </w:rPr>
            <w:fldChar w:fldCharType="separate"/>
          </w:r>
          <w:r w:rsidR="00C64D5D" w:rsidRPr="00773186">
            <w:rPr>
              <w:rFonts w:ascii="Times New Roman" w:hAnsi="Times New Roman" w:cs="Times New Roman"/>
              <w:noProof/>
              <w:sz w:val="24"/>
              <w:szCs w:val="24"/>
            </w:rPr>
            <w:t>(Caringi, Hardiman, Weldon, Fletcher, Devlin, &amp; Stanick, 2017)</w:t>
          </w:r>
          <w:r w:rsidR="00C64D5D" w:rsidRPr="00773186">
            <w:rPr>
              <w:rFonts w:ascii="Times New Roman" w:hAnsi="Times New Roman" w:cs="Times New Roman"/>
              <w:sz w:val="24"/>
              <w:szCs w:val="24"/>
            </w:rPr>
            <w:fldChar w:fldCharType="end"/>
          </w:r>
        </w:sdtContent>
      </w:sdt>
      <w:r w:rsidR="00C64D5D" w:rsidRPr="00773186">
        <w:rPr>
          <w:rFonts w:ascii="Times New Roman" w:hAnsi="Times New Roman" w:cs="Times New Roman"/>
          <w:sz w:val="24"/>
          <w:szCs w:val="24"/>
        </w:rPr>
        <w:t xml:space="preserve">. In an agency using a top down structure, giving me little to room to communicate my concerns and also late of acquisition of information relevant to the priorities and policy amendments of the agency will wear me out. Additionally lack of proper stipulated time off with a low clinician count requiring that I overwork will not satisfy me at my </w:t>
      </w:r>
      <w:r w:rsidR="00C64D5D" w:rsidRPr="00773186">
        <w:rPr>
          <w:rFonts w:ascii="Times New Roman" w:hAnsi="Times New Roman" w:cs="Times New Roman"/>
          <w:sz w:val="24"/>
          <w:szCs w:val="24"/>
        </w:rPr>
        <w:lastRenderedPageBreak/>
        <w:t xml:space="preserve">workplace. I will therefore be prone to look for other agencies for work with a more supportive structure and who recognize how demanding the nature of the job. With my efforts geared to that, the current employment exposes me to vicarious trauma and exhaustion. </w:t>
      </w:r>
    </w:p>
    <w:p w:rsidR="00542025" w:rsidRPr="00773186" w:rsidRDefault="003743D8" w:rsidP="00773186">
      <w:pPr>
        <w:spacing w:line="480" w:lineRule="auto"/>
        <w:ind w:firstLine="720"/>
        <w:rPr>
          <w:rFonts w:ascii="Times New Roman" w:hAnsi="Times New Roman" w:cs="Times New Roman"/>
          <w:sz w:val="24"/>
          <w:szCs w:val="24"/>
        </w:rPr>
      </w:pPr>
      <w:r w:rsidRPr="00773186">
        <w:rPr>
          <w:rFonts w:ascii="Times New Roman" w:hAnsi="Times New Roman" w:cs="Times New Roman"/>
          <w:sz w:val="24"/>
          <w:szCs w:val="24"/>
        </w:rPr>
        <w:t>One influential strategy that may help me in dealing with the risk factors above is self-care</w:t>
      </w:r>
      <w:r w:rsidR="00A33EAF" w:rsidRPr="00773186">
        <w:rPr>
          <w:rFonts w:ascii="Times New Roman" w:hAnsi="Times New Roman" w:cs="Times New Roman"/>
          <w:sz w:val="24"/>
          <w:szCs w:val="24"/>
        </w:rPr>
        <w:t xml:space="preserve"> </w:t>
      </w:r>
      <w:sdt>
        <w:sdtPr>
          <w:rPr>
            <w:rFonts w:ascii="Times New Roman" w:hAnsi="Times New Roman" w:cs="Times New Roman"/>
            <w:sz w:val="24"/>
            <w:szCs w:val="24"/>
          </w:rPr>
          <w:id w:val="132949755"/>
          <w:citation/>
        </w:sdtPr>
        <w:sdtContent>
          <w:r w:rsidR="00A33EAF" w:rsidRPr="00773186">
            <w:rPr>
              <w:rFonts w:ascii="Times New Roman" w:hAnsi="Times New Roman" w:cs="Times New Roman"/>
              <w:sz w:val="24"/>
              <w:szCs w:val="24"/>
            </w:rPr>
            <w:fldChar w:fldCharType="begin"/>
          </w:r>
          <w:r w:rsidR="00A33EAF" w:rsidRPr="00773186">
            <w:rPr>
              <w:rFonts w:ascii="Times New Roman" w:hAnsi="Times New Roman" w:cs="Times New Roman"/>
              <w:sz w:val="24"/>
              <w:szCs w:val="24"/>
            </w:rPr>
            <w:instrText xml:space="preserve"> CITATION Ede16 \l 1033 </w:instrText>
          </w:r>
          <w:r w:rsidR="00A33EAF" w:rsidRPr="00773186">
            <w:rPr>
              <w:rFonts w:ascii="Times New Roman" w:hAnsi="Times New Roman" w:cs="Times New Roman"/>
              <w:sz w:val="24"/>
              <w:szCs w:val="24"/>
            </w:rPr>
            <w:fldChar w:fldCharType="separate"/>
          </w:r>
          <w:r w:rsidR="00A33EAF" w:rsidRPr="00773186">
            <w:rPr>
              <w:rFonts w:ascii="Times New Roman" w:hAnsi="Times New Roman" w:cs="Times New Roman"/>
              <w:noProof/>
              <w:sz w:val="24"/>
              <w:szCs w:val="24"/>
            </w:rPr>
            <w:t>(Edelkott, Engstrom, Hernandez-Wolfe, &amp; Gangsei, 2016)</w:t>
          </w:r>
          <w:r w:rsidR="00A33EAF" w:rsidRPr="00773186">
            <w:rPr>
              <w:rFonts w:ascii="Times New Roman" w:hAnsi="Times New Roman" w:cs="Times New Roman"/>
              <w:sz w:val="24"/>
              <w:szCs w:val="24"/>
            </w:rPr>
            <w:fldChar w:fldCharType="end"/>
          </w:r>
        </w:sdtContent>
      </w:sdt>
      <w:r w:rsidRPr="00773186">
        <w:rPr>
          <w:rFonts w:ascii="Times New Roman" w:hAnsi="Times New Roman" w:cs="Times New Roman"/>
          <w:sz w:val="24"/>
          <w:szCs w:val="24"/>
        </w:rPr>
        <w:t xml:space="preserve">. Spirituality and agency support affect me as an individual directly, with minimal input from the clients. As such, meditation is a beneficial way of improving the positive feelings within and keeping me more grounded. Therefore, the strategy will be beneficial each time I doubt my spirituality or when my beliefs lead me to distress. Self-care also encompasses exercise and a beneficial social network. </w:t>
      </w:r>
      <w:r w:rsidR="00E93393" w:rsidRPr="00773186">
        <w:rPr>
          <w:rFonts w:ascii="Times New Roman" w:hAnsi="Times New Roman" w:cs="Times New Roman"/>
          <w:sz w:val="24"/>
          <w:szCs w:val="24"/>
        </w:rPr>
        <w:t xml:space="preserve">A workout routine results in increased endorphins which consequentially improve one’s outlook on life. A social support network proves beneficial as a support structure and shapes how I connect with other people to create meaning in life. </w:t>
      </w:r>
    </w:p>
    <w:p w:rsidR="00542025" w:rsidRPr="00773186" w:rsidRDefault="00542025" w:rsidP="00773186">
      <w:pPr>
        <w:spacing w:line="480" w:lineRule="auto"/>
        <w:rPr>
          <w:rFonts w:ascii="Times New Roman" w:hAnsi="Times New Roman" w:cs="Times New Roman"/>
          <w:sz w:val="24"/>
          <w:szCs w:val="24"/>
        </w:rPr>
      </w:pPr>
      <w:r w:rsidRPr="00773186">
        <w:rPr>
          <w:rFonts w:ascii="Times New Roman" w:hAnsi="Times New Roman" w:cs="Times New Roman"/>
          <w:sz w:val="24"/>
          <w:szCs w:val="24"/>
        </w:rPr>
        <w:br w:type="page"/>
      </w:r>
    </w:p>
    <w:sdt>
      <w:sdtPr>
        <w:rPr>
          <w:rFonts w:ascii="Times New Roman" w:hAnsi="Times New Roman" w:cs="Times New Roman"/>
          <w:color w:val="auto"/>
          <w:sz w:val="24"/>
          <w:szCs w:val="24"/>
        </w:rPr>
        <w:id w:val="132949756"/>
        <w:docPartObj>
          <w:docPartGallery w:val="Bibliographies"/>
          <w:docPartUnique/>
        </w:docPartObj>
      </w:sdtPr>
      <w:sdtEndPr>
        <w:rPr>
          <w:rFonts w:eastAsiaTheme="minorEastAsia"/>
          <w:b w:val="0"/>
          <w:bCs w:val="0"/>
          <w:lang w:bidi="ar-SA"/>
        </w:rPr>
      </w:sdtEndPr>
      <w:sdtContent>
        <w:p w:rsidR="00542025" w:rsidRPr="00773186" w:rsidRDefault="00542025" w:rsidP="00773186">
          <w:pPr>
            <w:pStyle w:val="Heading1"/>
            <w:spacing w:line="480" w:lineRule="auto"/>
            <w:jc w:val="center"/>
            <w:rPr>
              <w:rFonts w:ascii="Times New Roman" w:hAnsi="Times New Roman" w:cs="Times New Roman"/>
              <w:color w:val="auto"/>
              <w:sz w:val="24"/>
              <w:szCs w:val="24"/>
            </w:rPr>
          </w:pPr>
          <w:r w:rsidRPr="00773186">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542025" w:rsidRPr="00773186" w:rsidRDefault="00542025" w:rsidP="00773186">
              <w:pPr>
                <w:pStyle w:val="Bibliography"/>
                <w:spacing w:line="480" w:lineRule="auto"/>
                <w:ind w:left="720" w:hanging="720"/>
                <w:rPr>
                  <w:rFonts w:ascii="Times New Roman" w:hAnsi="Times New Roman" w:cs="Times New Roman"/>
                  <w:noProof/>
                  <w:sz w:val="24"/>
                  <w:szCs w:val="24"/>
                </w:rPr>
              </w:pPr>
              <w:r w:rsidRPr="00773186">
                <w:rPr>
                  <w:rFonts w:ascii="Times New Roman" w:hAnsi="Times New Roman" w:cs="Times New Roman"/>
                  <w:sz w:val="24"/>
                  <w:szCs w:val="24"/>
                </w:rPr>
                <w:fldChar w:fldCharType="begin"/>
              </w:r>
              <w:r w:rsidRPr="00773186">
                <w:rPr>
                  <w:rFonts w:ascii="Times New Roman" w:hAnsi="Times New Roman" w:cs="Times New Roman"/>
                  <w:sz w:val="24"/>
                  <w:szCs w:val="24"/>
                </w:rPr>
                <w:instrText xml:space="preserve"> BIBLIOGRAPHY </w:instrText>
              </w:r>
              <w:r w:rsidRPr="00773186">
                <w:rPr>
                  <w:rFonts w:ascii="Times New Roman" w:hAnsi="Times New Roman" w:cs="Times New Roman"/>
                  <w:sz w:val="24"/>
                  <w:szCs w:val="24"/>
                </w:rPr>
                <w:fldChar w:fldCharType="separate"/>
              </w:r>
              <w:r w:rsidRPr="00773186">
                <w:rPr>
                  <w:rFonts w:ascii="Times New Roman" w:hAnsi="Times New Roman" w:cs="Times New Roman"/>
                  <w:noProof/>
                  <w:sz w:val="24"/>
                  <w:szCs w:val="24"/>
                </w:rPr>
                <w:t xml:space="preserve">Caringi, J. C., Hardiman, E. R., Weldon, P., Fletcher, S., Devlin, m., &amp; Stanick, C. (2017). Secondary traumatic stress and licensed clinical social workers. </w:t>
              </w:r>
              <w:r w:rsidRPr="00773186">
                <w:rPr>
                  <w:rFonts w:ascii="Times New Roman" w:hAnsi="Times New Roman" w:cs="Times New Roman"/>
                  <w:i/>
                  <w:iCs/>
                  <w:noProof/>
                  <w:sz w:val="24"/>
                  <w:szCs w:val="24"/>
                </w:rPr>
                <w:t>Traumatology</w:t>
              </w:r>
              <w:r w:rsidRPr="00773186">
                <w:rPr>
                  <w:rFonts w:ascii="Times New Roman" w:hAnsi="Times New Roman" w:cs="Times New Roman"/>
                  <w:noProof/>
                  <w:sz w:val="24"/>
                  <w:szCs w:val="24"/>
                </w:rPr>
                <w:t xml:space="preserve"> </w:t>
              </w:r>
              <w:r w:rsidRPr="00773186">
                <w:rPr>
                  <w:rFonts w:ascii="Times New Roman" w:hAnsi="Times New Roman" w:cs="Times New Roman"/>
                  <w:i/>
                  <w:iCs/>
                  <w:noProof/>
                  <w:sz w:val="24"/>
                  <w:szCs w:val="24"/>
                </w:rPr>
                <w:t>, 23</w:t>
              </w:r>
              <w:r w:rsidRPr="00773186">
                <w:rPr>
                  <w:rFonts w:ascii="Times New Roman" w:hAnsi="Times New Roman" w:cs="Times New Roman"/>
                  <w:noProof/>
                  <w:sz w:val="24"/>
                  <w:szCs w:val="24"/>
                </w:rPr>
                <w:t xml:space="preserve"> (2), 186.</w:t>
              </w:r>
            </w:p>
            <w:p w:rsidR="00542025" w:rsidRPr="00773186" w:rsidRDefault="00542025" w:rsidP="00773186">
              <w:pPr>
                <w:pStyle w:val="Bibliography"/>
                <w:spacing w:line="480" w:lineRule="auto"/>
                <w:ind w:left="720" w:hanging="720"/>
                <w:rPr>
                  <w:rFonts w:ascii="Times New Roman" w:hAnsi="Times New Roman" w:cs="Times New Roman"/>
                  <w:noProof/>
                  <w:sz w:val="24"/>
                  <w:szCs w:val="24"/>
                </w:rPr>
              </w:pPr>
              <w:r w:rsidRPr="00773186">
                <w:rPr>
                  <w:rFonts w:ascii="Times New Roman" w:hAnsi="Times New Roman" w:cs="Times New Roman"/>
                  <w:noProof/>
                  <w:sz w:val="24"/>
                  <w:szCs w:val="24"/>
                </w:rPr>
                <w:t xml:space="preserve">Caringi, J., &amp; Pearlman, L. (2009). Living and working self-reflectively to address vicarious trauma. </w:t>
              </w:r>
              <w:r w:rsidRPr="00773186">
                <w:rPr>
                  <w:rFonts w:ascii="Times New Roman" w:hAnsi="Times New Roman" w:cs="Times New Roman"/>
                  <w:i/>
                  <w:iCs/>
                  <w:noProof/>
                  <w:sz w:val="24"/>
                  <w:szCs w:val="24"/>
                </w:rPr>
                <w:t>Treating Complex Traumatic Stress Disorders: An Evidence-Based Guide; Guilford Press</w:t>
              </w:r>
              <w:r w:rsidRPr="00773186">
                <w:rPr>
                  <w:rFonts w:ascii="Times New Roman" w:hAnsi="Times New Roman" w:cs="Times New Roman"/>
                  <w:noProof/>
                  <w:sz w:val="24"/>
                  <w:szCs w:val="24"/>
                </w:rPr>
                <w:t xml:space="preserve"> , 202-222.</w:t>
              </w:r>
            </w:p>
            <w:p w:rsidR="00542025" w:rsidRPr="00773186" w:rsidRDefault="00542025" w:rsidP="00773186">
              <w:pPr>
                <w:pStyle w:val="Bibliography"/>
                <w:spacing w:line="480" w:lineRule="auto"/>
                <w:ind w:left="720" w:hanging="720"/>
                <w:rPr>
                  <w:rFonts w:ascii="Times New Roman" w:hAnsi="Times New Roman" w:cs="Times New Roman"/>
                  <w:noProof/>
                  <w:sz w:val="24"/>
                  <w:szCs w:val="24"/>
                </w:rPr>
              </w:pPr>
              <w:r w:rsidRPr="00773186">
                <w:rPr>
                  <w:rFonts w:ascii="Times New Roman" w:hAnsi="Times New Roman" w:cs="Times New Roman"/>
                  <w:noProof/>
                  <w:sz w:val="24"/>
                  <w:szCs w:val="24"/>
                </w:rPr>
                <w:t xml:space="preserve">Edelkott, N., Engstrom, D. W., Hernandez-Wolfe, P., &amp; Gangsei, D. (2016). Vicarious resilience: Complexities and variations. </w:t>
              </w:r>
              <w:r w:rsidRPr="00773186">
                <w:rPr>
                  <w:rFonts w:ascii="Times New Roman" w:hAnsi="Times New Roman" w:cs="Times New Roman"/>
                  <w:i/>
                  <w:iCs/>
                  <w:noProof/>
                  <w:sz w:val="24"/>
                  <w:szCs w:val="24"/>
                </w:rPr>
                <w:t>American Journal of Orthopsychiatry</w:t>
              </w:r>
              <w:r w:rsidRPr="00773186">
                <w:rPr>
                  <w:rFonts w:ascii="Times New Roman" w:hAnsi="Times New Roman" w:cs="Times New Roman"/>
                  <w:noProof/>
                  <w:sz w:val="24"/>
                  <w:szCs w:val="24"/>
                </w:rPr>
                <w:t xml:space="preserve"> </w:t>
              </w:r>
              <w:r w:rsidRPr="00773186">
                <w:rPr>
                  <w:rFonts w:ascii="Times New Roman" w:hAnsi="Times New Roman" w:cs="Times New Roman"/>
                  <w:i/>
                  <w:iCs/>
                  <w:noProof/>
                  <w:sz w:val="24"/>
                  <w:szCs w:val="24"/>
                </w:rPr>
                <w:t>, 86</w:t>
              </w:r>
              <w:r w:rsidRPr="00773186">
                <w:rPr>
                  <w:rFonts w:ascii="Times New Roman" w:hAnsi="Times New Roman" w:cs="Times New Roman"/>
                  <w:noProof/>
                  <w:sz w:val="24"/>
                  <w:szCs w:val="24"/>
                </w:rPr>
                <w:t xml:space="preserve"> (6), 713.</w:t>
              </w:r>
            </w:p>
            <w:p w:rsidR="00542025" w:rsidRPr="00773186" w:rsidRDefault="00542025" w:rsidP="00773186">
              <w:pPr>
                <w:pStyle w:val="Bibliography"/>
                <w:spacing w:line="480" w:lineRule="auto"/>
                <w:ind w:left="720" w:hanging="720"/>
                <w:rPr>
                  <w:rFonts w:ascii="Times New Roman" w:hAnsi="Times New Roman" w:cs="Times New Roman"/>
                  <w:noProof/>
                  <w:sz w:val="24"/>
                  <w:szCs w:val="24"/>
                </w:rPr>
              </w:pPr>
              <w:r w:rsidRPr="00773186">
                <w:rPr>
                  <w:rFonts w:ascii="Times New Roman" w:hAnsi="Times New Roman" w:cs="Times New Roman"/>
                  <w:noProof/>
                  <w:sz w:val="24"/>
                  <w:szCs w:val="24"/>
                </w:rPr>
                <w:t xml:space="preserve">Hardiman, P., &amp; Simmonds, J. G. (2013). Spiritual well-being, burnout and trauma in counsellors and psychotherapists. </w:t>
              </w:r>
              <w:r w:rsidRPr="00773186">
                <w:rPr>
                  <w:rFonts w:ascii="Times New Roman" w:hAnsi="Times New Roman" w:cs="Times New Roman"/>
                  <w:i/>
                  <w:iCs/>
                  <w:noProof/>
                  <w:sz w:val="24"/>
                  <w:szCs w:val="24"/>
                </w:rPr>
                <w:t>Mental Health, Religion and Culture</w:t>
              </w:r>
              <w:r w:rsidRPr="00773186">
                <w:rPr>
                  <w:rFonts w:ascii="Times New Roman" w:hAnsi="Times New Roman" w:cs="Times New Roman"/>
                  <w:noProof/>
                  <w:sz w:val="24"/>
                  <w:szCs w:val="24"/>
                </w:rPr>
                <w:t xml:space="preserve"> </w:t>
              </w:r>
              <w:r w:rsidRPr="00773186">
                <w:rPr>
                  <w:rFonts w:ascii="Times New Roman" w:hAnsi="Times New Roman" w:cs="Times New Roman"/>
                  <w:i/>
                  <w:iCs/>
                  <w:noProof/>
                  <w:sz w:val="24"/>
                  <w:szCs w:val="24"/>
                </w:rPr>
                <w:t>, 16</w:t>
              </w:r>
              <w:r w:rsidRPr="00773186">
                <w:rPr>
                  <w:rFonts w:ascii="Times New Roman" w:hAnsi="Times New Roman" w:cs="Times New Roman"/>
                  <w:noProof/>
                  <w:sz w:val="24"/>
                  <w:szCs w:val="24"/>
                </w:rPr>
                <w:t xml:space="preserve"> (10), 1044-1055(12).</w:t>
              </w:r>
            </w:p>
            <w:p w:rsidR="00542025" w:rsidRPr="00773186" w:rsidRDefault="00542025" w:rsidP="00773186">
              <w:pPr>
                <w:spacing w:line="480" w:lineRule="auto"/>
                <w:ind w:left="720" w:hanging="720"/>
                <w:rPr>
                  <w:rFonts w:ascii="Times New Roman" w:hAnsi="Times New Roman" w:cs="Times New Roman"/>
                  <w:sz w:val="24"/>
                  <w:szCs w:val="24"/>
                </w:rPr>
              </w:pPr>
              <w:r w:rsidRPr="00773186">
                <w:rPr>
                  <w:rFonts w:ascii="Times New Roman" w:hAnsi="Times New Roman" w:cs="Times New Roman"/>
                  <w:sz w:val="24"/>
                  <w:szCs w:val="24"/>
                </w:rPr>
                <w:fldChar w:fldCharType="end"/>
              </w:r>
            </w:p>
          </w:sdtContent>
        </w:sdt>
      </w:sdtContent>
    </w:sdt>
    <w:p w:rsidR="003743D8" w:rsidRPr="00773186" w:rsidRDefault="003743D8" w:rsidP="00773186">
      <w:pPr>
        <w:spacing w:line="480" w:lineRule="auto"/>
        <w:ind w:firstLine="720"/>
        <w:rPr>
          <w:rFonts w:ascii="Times New Roman" w:hAnsi="Times New Roman" w:cs="Times New Roman"/>
          <w:sz w:val="24"/>
          <w:szCs w:val="24"/>
        </w:rPr>
      </w:pPr>
    </w:p>
    <w:sectPr w:rsidR="003743D8" w:rsidRPr="00773186" w:rsidSect="005420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B96" w:rsidRDefault="00807B96" w:rsidP="00542025">
      <w:pPr>
        <w:spacing w:after="0" w:line="240" w:lineRule="auto"/>
      </w:pPr>
      <w:r>
        <w:separator/>
      </w:r>
    </w:p>
  </w:endnote>
  <w:endnote w:type="continuationSeparator" w:id="1">
    <w:p w:rsidR="00807B96" w:rsidRDefault="00807B96" w:rsidP="005420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B96" w:rsidRDefault="00807B96" w:rsidP="00542025">
      <w:pPr>
        <w:spacing w:after="0" w:line="240" w:lineRule="auto"/>
      </w:pPr>
      <w:r>
        <w:separator/>
      </w:r>
    </w:p>
  </w:footnote>
  <w:footnote w:type="continuationSeparator" w:id="1">
    <w:p w:rsidR="00807B96" w:rsidRDefault="00807B96" w:rsidP="005420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25" w:rsidRPr="00773186" w:rsidRDefault="00542025">
    <w:pPr>
      <w:pStyle w:val="Header"/>
      <w:jc w:val="right"/>
      <w:rPr>
        <w:rFonts w:ascii="Times New Roman" w:hAnsi="Times New Roman" w:cs="Times New Roman"/>
        <w:sz w:val="24"/>
      </w:rPr>
    </w:pPr>
    <w:r w:rsidRPr="00773186">
      <w:rPr>
        <w:rFonts w:ascii="Times New Roman" w:hAnsi="Times New Roman" w:cs="Times New Roman"/>
        <w:sz w:val="24"/>
      </w:rPr>
      <w:t>RISK FACTORS FOR VICARIOUS TRAUMA</w:t>
    </w:r>
    <w:r w:rsidRPr="00773186">
      <w:rPr>
        <w:rFonts w:ascii="Times New Roman" w:hAnsi="Times New Roman" w:cs="Times New Roman"/>
        <w:sz w:val="24"/>
      </w:rPr>
      <w:tab/>
    </w:r>
    <w:sdt>
      <w:sdtPr>
        <w:rPr>
          <w:rFonts w:ascii="Times New Roman" w:hAnsi="Times New Roman" w:cs="Times New Roman"/>
          <w:sz w:val="24"/>
        </w:rPr>
        <w:id w:val="132949761"/>
        <w:docPartObj>
          <w:docPartGallery w:val="Page Numbers (Top of Page)"/>
          <w:docPartUnique/>
        </w:docPartObj>
      </w:sdtPr>
      <w:sdtContent>
        <w:r w:rsidRPr="00773186">
          <w:rPr>
            <w:rFonts w:ascii="Times New Roman" w:hAnsi="Times New Roman" w:cs="Times New Roman"/>
            <w:sz w:val="24"/>
          </w:rPr>
          <w:fldChar w:fldCharType="begin"/>
        </w:r>
        <w:r w:rsidRPr="00773186">
          <w:rPr>
            <w:rFonts w:ascii="Times New Roman" w:hAnsi="Times New Roman" w:cs="Times New Roman"/>
            <w:sz w:val="24"/>
          </w:rPr>
          <w:instrText xml:space="preserve"> PAGE   \* MERGEFORMAT </w:instrText>
        </w:r>
        <w:r w:rsidRPr="00773186">
          <w:rPr>
            <w:rFonts w:ascii="Times New Roman" w:hAnsi="Times New Roman" w:cs="Times New Roman"/>
            <w:sz w:val="24"/>
          </w:rPr>
          <w:fldChar w:fldCharType="separate"/>
        </w:r>
        <w:r w:rsidR="00773186">
          <w:rPr>
            <w:rFonts w:ascii="Times New Roman" w:hAnsi="Times New Roman" w:cs="Times New Roman"/>
            <w:noProof/>
            <w:sz w:val="24"/>
          </w:rPr>
          <w:t>4</w:t>
        </w:r>
        <w:r w:rsidRPr="00773186">
          <w:rPr>
            <w:rFonts w:ascii="Times New Roman" w:hAnsi="Times New Roman" w:cs="Times New Roman"/>
            <w:sz w:val="24"/>
          </w:rPr>
          <w:fldChar w:fldCharType="end"/>
        </w:r>
      </w:sdtContent>
    </w:sdt>
  </w:p>
  <w:p w:rsidR="00542025" w:rsidRPr="00773186" w:rsidRDefault="0054202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25" w:rsidRPr="00542025" w:rsidRDefault="00542025">
    <w:pPr>
      <w:pStyle w:val="Header"/>
      <w:jc w:val="right"/>
      <w:rPr>
        <w:rFonts w:ascii="Times New Roman" w:hAnsi="Times New Roman" w:cs="Times New Roman"/>
        <w:sz w:val="24"/>
      </w:rPr>
    </w:pPr>
    <w:r w:rsidRPr="00542025">
      <w:rPr>
        <w:rFonts w:ascii="Times New Roman" w:hAnsi="Times New Roman" w:cs="Times New Roman"/>
        <w:sz w:val="24"/>
      </w:rPr>
      <w:t xml:space="preserve">Running Head: RISK FACTORS FOR VICARIOUS TRAUMA </w:t>
    </w:r>
    <w:r w:rsidRPr="00542025">
      <w:rPr>
        <w:rFonts w:ascii="Times New Roman" w:hAnsi="Times New Roman" w:cs="Times New Roman"/>
        <w:sz w:val="24"/>
      </w:rPr>
      <w:tab/>
    </w:r>
    <w:sdt>
      <w:sdtPr>
        <w:rPr>
          <w:rFonts w:ascii="Times New Roman" w:hAnsi="Times New Roman" w:cs="Times New Roman"/>
          <w:sz w:val="24"/>
        </w:rPr>
        <w:id w:val="132949795"/>
        <w:docPartObj>
          <w:docPartGallery w:val="Page Numbers (Top of Page)"/>
          <w:docPartUnique/>
        </w:docPartObj>
      </w:sdtPr>
      <w:sdtContent>
        <w:r w:rsidRPr="00542025">
          <w:rPr>
            <w:rFonts w:ascii="Times New Roman" w:hAnsi="Times New Roman" w:cs="Times New Roman"/>
            <w:sz w:val="24"/>
          </w:rPr>
          <w:fldChar w:fldCharType="begin"/>
        </w:r>
        <w:r w:rsidRPr="00542025">
          <w:rPr>
            <w:rFonts w:ascii="Times New Roman" w:hAnsi="Times New Roman" w:cs="Times New Roman"/>
            <w:sz w:val="24"/>
          </w:rPr>
          <w:instrText xml:space="preserve"> PAGE   \* MERGEFORMAT </w:instrText>
        </w:r>
        <w:r w:rsidRPr="00542025">
          <w:rPr>
            <w:rFonts w:ascii="Times New Roman" w:hAnsi="Times New Roman" w:cs="Times New Roman"/>
            <w:sz w:val="24"/>
          </w:rPr>
          <w:fldChar w:fldCharType="separate"/>
        </w:r>
        <w:r w:rsidR="00773186">
          <w:rPr>
            <w:rFonts w:ascii="Times New Roman" w:hAnsi="Times New Roman" w:cs="Times New Roman"/>
            <w:noProof/>
            <w:sz w:val="24"/>
          </w:rPr>
          <w:t>1</w:t>
        </w:r>
        <w:r w:rsidRPr="00542025">
          <w:rPr>
            <w:rFonts w:ascii="Times New Roman" w:hAnsi="Times New Roman" w:cs="Times New Roman"/>
            <w:sz w:val="24"/>
          </w:rPr>
          <w:fldChar w:fldCharType="end"/>
        </w:r>
      </w:sdtContent>
    </w:sdt>
  </w:p>
  <w:p w:rsidR="00542025" w:rsidRPr="00542025" w:rsidRDefault="0054202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07DD3"/>
    <w:rsid w:val="00111269"/>
    <w:rsid w:val="003743D8"/>
    <w:rsid w:val="00542025"/>
    <w:rsid w:val="00623DC9"/>
    <w:rsid w:val="00773186"/>
    <w:rsid w:val="00807B96"/>
    <w:rsid w:val="00A33EAF"/>
    <w:rsid w:val="00C64D5D"/>
    <w:rsid w:val="00D01D87"/>
    <w:rsid w:val="00D07DD3"/>
    <w:rsid w:val="00E933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202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DC9"/>
    <w:rPr>
      <w:rFonts w:ascii="Tahoma" w:hAnsi="Tahoma" w:cs="Tahoma"/>
      <w:sz w:val="16"/>
      <w:szCs w:val="16"/>
    </w:rPr>
  </w:style>
  <w:style w:type="character" w:customStyle="1" w:styleId="Heading1Char">
    <w:name w:val="Heading 1 Char"/>
    <w:basedOn w:val="DefaultParagraphFont"/>
    <w:link w:val="Heading1"/>
    <w:uiPriority w:val="9"/>
    <w:rsid w:val="0054202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42025"/>
  </w:style>
  <w:style w:type="paragraph" w:styleId="Header">
    <w:name w:val="header"/>
    <w:basedOn w:val="Normal"/>
    <w:link w:val="HeaderChar"/>
    <w:uiPriority w:val="99"/>
    <w:unhideWhenUsed/>
    <w:rsid w:val="00542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025"/>
  </w:style>
  <w:style w:type="paragraph" w:styleId="Footer">
    <w:name w:val="footer"/>
    <w:basedOn w:val="Normal"/>
    <w:link w:val="FooterChar"/>
    <w:uiPriority w:val="99"/>
    <w:semiHidden/>
    <w:unhideWhenUsed/>
    <w:rsid w:val="005420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20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Har13</b:Tag>
    <b:SourceType>JournalArticle</b:SourceType>
    <b:Guid>{80FC61F3-A8BE-420C-AD31-92595127BED5}</b:Guid>
    <b:LCID>0</b:LCID>
    <b:Author>
      <b:Author>
        <b:NameList>
          <b:Person>
            <b:Last>Hardiman</b:Last>
            <b:First>Piers</b:First>
          </b:Person>
          <b:Person>
            <b:Last>Simmonds</b:Last>
            <b:First>Janette</b:First>
            <b:Middle>Graetz</b:Middle>
          </b:Person>
        </b:NameList>
      </b:Author>
    </b:Author>
    <b:Title>Spiritual well-being, burnout and trauma in counsellors and psychotherapists</b:Title>
    <b:Year>2013</b:Year>
    <b:Month>December</b:Month>
    <b:Day>1</b:Day>
    <b:JournalName>Mental Health, Religion and Culture</b:JournalName>
    <b:Pages>1044-1055(12)</b:Pages>
    <b:Publisher>Routledge, part of the Taykor &amp; Francis Group</b:Publisher>
    <b:Volume>16</b:Volume>
    <b:Issue>10</b:Issue>
    <b:ShortTitle>https://doi.org/10.1080/13674676.2012.732560</b:ShortTitle>
    <b:RefOrder>2</b:RefOrder>
  </b:Source>
  <b:Source>
    <b:Tag>Car09</b:Tag>
    <b:SourceType>JournalArticle</b:SourceType>
    <b:Guid>{4F373518-3BBD-4C0B-AEDE-10CCFD80C229}</b:Guid>
    <b:LCID>0</b:LCID>
    <b:Author>
      <b:Author>
        <b:NameList>
          <b:Person>
            <b:Last>Caringi</b:Last>
            <b:First>James</b:First>
          </b:Person>
          <b:Person>
            <b:Last>Pearlman</b:Last>
            <b:First>L.</b:First>
          </b:Person>
        </b:NameList>
      </b:Author>
    </b:Author>
    <b:Title>Living and working self-reflectively to address vicarious trauma.</b:Title>
    <b:JournalName>Treating Complex Traumatic Stress Disorders: An Evidence-Based Guide; Guilford Press</b:JournalName>
    <b:Year>2009</b:Year>
    <b:Pages>202-222</b:Pages>
    <b:City>New York, NY, USA</b:City>
    <b:RefOrder>1</b:RefOrder>
  </b:Source>
  <b:Source>
    <b:Tag>Car17</b:Tag>
    <b:SourceType>JournalArticle</b:SourceType>
    <b:Guid>{CBF31EC6-0C51-48DA-AD55-8A595D704078}</b:Guid>
    <b:LCID>0</b:LCID>
    <b:Author>
      <b:Author>
        <b:NameList>
          <b:Person>
            <b:Last>Caringi</b:Last>
            <b:First>James</b:First>
            <b:Middle>C.</b:Middle>
          </b:Person>
          <b:Person>
            <b:Last>Hardiman</b:Last>
            <b:First>Eric</b:First>
            <b:Middle>R.</b:Middle>
          </b:Person>
          <b:Person>
            <b:Last>Weldon</b:Last>
            <b:First>Patricia</b:First>
          </b:Person>
          <b:Person>
            <b:Last>Fletcher</b:Last>
            <b:First>Samantha</b:First>
          </b:Person>
          <b:Person>
            <b:Last>Devlin</b:Last>
            <b:First>mary</b:First>
          </b:Person>
          <b:Person>
            <b:Last>Stanick</b:Last>
            <b:First>Cameo</b:First>
          </b:Person>
        </b:NameList>
      </b:Author>
    </b:Author>
    <b:Title>Secondary traumatic stress and licensed clinical social workers.</b:Title>
    <b:JournalName>Traumatology</b:JournalName>
    <b:Year>2017</b:Year>
    <b:Pages>186</b:Pages>
    <b:Volume>23</b:Volume>
    <b:Issue>2</b:Issue>
    <b:RefOrder>3</b:RefOrder>
  </b:Source>
  <b:Source>
    <b:Tag>Ede16</b:Tag>
    <b:SourceType>JournalArticle</b:SourceType>
    <b:Guid>{99FB2509-DEFC-4C3B-9981-7B7892C12E5F}</b:Guid>
    <b:LCID>0</b:LCID>
    <b:Author>
      <b:Author>
        <b:NameList>
          <b:Person>
            <b:Last>Edelkott</b:Last>
            <b:First>Noemi</b:First>
          </b:Person>
          <b:Person>
            <b:Last>Engstrom</b:Last>
            <b:First>David</b:First>
            <b:Middle>W.</b:Middle>
          </b:Person>
          <b:Person>
            <b:Last>Hernandez-Wolfe</b:Last>
            <b:First>Pilar</b:First>
          </b:Person>
          <b:Person>
            <b:Last>Gangsei</b:Last>
            <b:First>David</b:First>
          </b:Person>
        </b:NameList>
      </b:Author>
    </b:Author>
    <b:Title>Vicarious resilience: Complexities and variations.</b:Title>
    <b:JournalName>American Journal of Orthopsychiatry</b:JournalName>
    <b:Year>2016</b:Year>
    <b:Pages>713</b:Pages>
    <b:Volume>86</b:Volume>
    <b:Issue>6</b:Issue>
    <b:RefOrder>4</b:RefOrder>
  </b:Source>
</b:Sources>
</file>

<file path=customXml/itemProps1.xml><?xml version="1.0" encoding="utf-8"?>
<ds:datastoreItem xmlns:ds="http://schemas.openxmlformats.org/officeDocument/2006/customXml" ds:itemID="{71F848F8-7139-487F-8F72-BC632AB52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2019-09-11T08:53:00Z</dcterms:created>
  <dcterms:modified xsi:type="dcterms:W3CDTF">2019-09-11T10:13:00Z</dcterms:modified>
</cp:coreProperties>
</file>